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after="60" w:before="0" w:line="249.23076923076928" w:lineRule="auto"/>
        <w:rPr>
          <w:rFonts w:ascii="Century Gothic" w:cs="Century Gothic" w:eastAsia="Century Gothic" w:hAnsi="Century Gothic"/>
          <w:b w:val="1"/>
          <w:sz w:val="39"/>
          <w:szCs w:val="39"/>
          <w:highlight w:val="white"/>
          <w:u w:val="single"/>
        </w:rPr>
      </w:pPr>
      <w:bookmarkStart w:colFirst="0" w:colLast="0" w:name="_c10s287qy50t" w:id="0"/>
      <w:bookmarkEnd w:id="0"/>
      <w:r w:rsidDel="00000000" w:rsidR="00000000" w:rsidRPr="00000000">
        <w:rPr>
          <w:rFonts w:ascii="Century Gothic" w:cs="Century Gothic" w:eastAsia="Century Gothic" w:hAnsi="Century Gothic"/>
          <w:b w:val="1"/>
          <w:sz w:val="39"/>
          <w:szCs w:val="39"/>
          <w:highlight w:val="white"/>
          <w:u w:val="single"/>
          <w:rtl w:val="0"/>
        </w:rPr>
        <w:t xml:space="preserve">Low Energy Availability Guidance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Swim England has also produced guidance documents on the subject of how to identify low energy availability and the potential health and performance consequences this may have.  Knowing how to identify this early should help athletes get the support they need. This may be from a local GP, a charity or a private organisation.</w:t>
      </w:r>
    </w:p>
    <w:p w:rsidR="00000000" w:rsidDel="00000000" w:rsidP="00000000" w:rsidRDefault="00000000" w:rsidRPr="00000000" w14:paraId="00000004">
      <w:pPr>
        <w:rPr>
          <w:rFonts w:ascii="Century Gothic" w:cs="Century Gothic" w:eastAsia="Century Gothic" w:hAnsi="Century Gothic"/>
          <w:sz w:val="24"/>
          <w:szCs w:val="24"/>
          <w:highlight w:val="white"/>
        </w:rPr>
      </w:pPr>
      <w:r w:rsidDel="00000000" w:rsidR="00000000" w:rsidRPr="00000000">
        <w:rPr>
          <w:rtl w:val="0"/>
        </w:rPr>
      </w:r>
    </w:p>
    <w:p w:rsidR="00000000" w:rsidDel="00000000" w:rsidP="00000000" w:rsidRDefault="00000000" w:rsidRPr="00000000" w14:paraId="00000005">
      <w:pPr>
        <w:rPr>
          <w:rFonts w:ascii="Century Gothic" w:cs="Century Gothic" w:eastAsia="Century Gothic" w:hAnsi="Century Gothic"/>
          <w:color w:val="525252"/>
          <w:sz w:val="24"/>
          <w:szCs w:val="24"/>
          <w:highlight w:val="white"/>
        </w:rPr>
      </w:pPr>
      <w:hyperlink r:id="rId6">
        <w:r w:rsidDel="00000000" w:rsidR="00000000" w:rsidRPr="00000000">
          <w:rPr>
            <w:rFonts w:ascii="Century Gothic" w:cs="Century Gothic" w:eastAsia="Century Gothic" w:hAnsi="Century Gothic"/>
            <w:color w:val="1155cc"/>
            <w:sz w:val="24"/>
            <w:szCs w:val="24"/>
            <w:highlight w:val="white"/>
            <w:u w:val="single"/>
            <w:rtl w:val="0"/>
          </w:rPr>
          <w:t xml:space="preserve">https://www.swimming.org/sport/low-energy-availability-guidance/</w:t>
        </w:r>
      </w:hyperlink>
      <w:r w:rsidDel="00000000" w:rsidR="00000000" w:rsidRPr="00000000">
        <w:rPr>
          <w:rtl w:val="0"/>
        </w:rPr>
      </w:r>
    </w:p>
    <w:p w:rsidR="00000000" w:rsidDel="00000000" w:rsidP="00000000" w:rsidRDefault="00000000" w:rsidRPr="00000000" w14:paraId="00000006">
      <w:pPr>
        <w:rPr>
          <w:rFonts w:ascii="Century Gothic" w:cs="Century Gothic" w:eastAsia="Century Gothic" w:hAnsi="Century Gothic"/>
          <w:color w:val="525252"/>
          <w:sz w:val="24"/>
          <w:szCs w:val="24"/>
          <w:highlight w:val="white"/>
        </w:rPr>
      </w:pPr>
      <w:r w:rsidDel="00000000" w:rsidR="00000000" w:rsidRPr="00000000">
        <w:rPr>
          <w:rtl w:val="0"/>
        </w:rPr>
      </w:r>
    </w:p>
    <w:p w:rsidR="00000000" w:rsidDel="00000000" w:rsidP="00000000" w:rsidRDefault="00000000" w:rsidRPr="00000000" w14:paraId="00000007">
      <w:pPr>
        <w:shd w:fill="ffffff" w:val="clear"/>
        <w:spacing w:after="28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Low Energy Availability (LEA) happens when the body does not have enough energy to support all physiological functions needed to maintain optimal health, i.e. when there is a mismatch between energy in vs energy out. The body uses energy for exercise before using energy for crucial bodily functions, such as menstruation, bone development and growth.</w:t>
      </w:r>
    </w:p>
    <w:p w:rsidR="00000000" w:rsidDel="00000000" w:rsidP="00000000" w:rsidRDefault="00000000" w:rsidRPr="00000000" w14:paraId="00000008">
      <w:pPr>
        <w:shd w:fill="ffffff" w:val="clear"/>
        <w:spacing w:after="28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Low energy availability can be happening due to relative energy deficiency in sport (RED-S), overtraining syndrome, disordered eating or an eating disorder.</w:t>
      </w:r>
    </w:p>
    <w:p w:rsidR="00000000" w:rsidDel="00000000" w:rsidP="00000000" w:rsidRDefault="00000000" w:rsidRPr="00000000" w14:paraId="00000009">
      <w:pPr>
        <w:pStyle w:val="Heading3"/>
        <w:keepNext w:val="0"/>
        <w:keepLines w:val="0"/>
        <w:shd w:fill="ffffff" w:val="clear"/>
        <w:spacing w:after="160" w:before="300" w:lineRule="auto"/>
        <w:rPr>
          <w:rFonts w:ascii="Century Gothic" w:cs="Century Gothic" w:eastAsia="Century Gothic" w:hAnsi="Century Gothic"/>
          <w:b w:val="1"/>
          <w:color w:val="000000"/>
          <w:sz w:val="30"/>
          <w:szCs w:val="30"/>
          <w:highlight w:val="white"/>
        </w:rPr>
      </w:pPr>
      <w:bookmarkStart w:colFirst="0" w:colLast="0" w:name="_revqhgna0csb" w:id="1"/>
      <w:bookmarkEnd w:id="1"/>
      <w:r w:rsidDel="00000000" w:rsidR="00000000" w:rsidRPr="00000000">
        <w:rPr>
          <w:rFonts w:ascii="Century Gothic" w:cs="Century Gothic" w:eastAsia="Century Gothic" w:hAnsi="Century Gothic"/>
          <w:b w:val="1"/>
          <w:color w:val="000000"/>
          <w:sz w:val="30"/>
          <w:szCs w:val="30"/>
          <w:highlight w:val="white"/>
          <w:rtl w:val="0"/>
        </w:rPr>
        <w:t xml:space="preserve">RED-S</w:t>
      </w:r>
    </w:p>
    <w:p w:rsidR="00000000" w:rsidDel="00000000" w:rsidP="00000000" w:rsidRDefault="00000000" w:rsidRPr="00000000" w14:paraId="0000000A">
      <w:pPr>
        <w:spacing w:after="300" w:before="18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Impaired physiological factors causing impairments of metabolic rate, menstrual function, bone health, immunity, protein synthesis and cardiovascular health.</w:t>
      </w:r>
    </w:p>
    <w:p w:rsidR="00000000" w:rsidDel="00000000" w:rsidP="00000000" w:rsidRDefault="00000000" w:rsidRPr="00000000" w14:paraId="0000000B">
      <w:pPr>
        <w:pStyle w:val="Heading3"/>
        <w:keepNext w:val="0"/>
        <w:keepLines w:val="0"/>
        <w:shd w:fill="ffffff" w:val="clear"/>
        <w:spacing w:after="160" w:before="300" w:lineRule="auto"/>
        <w:rPr>
          <w:rFonts w:ascii="Century Gothic" w:cs="Century Gothic" w:eastAsia="Century Gothic" w:hAnsi="Century Gothic"/>
          <w:b w:val="1"/>
          <w:color w:val="000000"/>
          <w:sz w:val="30"/>
          <w:szCs w:val="30"/>
          <w:highlight w:val="white"/>
        </w:rPr>
      </w:pPr>
      <w:bookmarkStart w:colFirst="0" w:colLast="0" w:name="_xoyi94x2z5ft" w:id="2"/>
      <w:bookmarkEnd w:id="2"/>
      <w:r w:rsidDel="00000000" w:rsidR="00000000" w:rsidRPr="00000000">
        <w:rPr>
          <w:rFonts w:ascii="Century Gothic" w:cs="Century Gothic" w:eastAsia="Century Gothic" w:hAnsi="Century Gothic"/>
          <w:b w:val="1"/>
          <w:color w:val="000000"/>
          <w:sz w:val="30"/>
          <w:szCs w:val="30"/>
          <w:highlight w:val="white"/>
          <w:rtl w:val="0"/>
        </w:rPr>
        <w:t xml:space="preserve">Overtraining syndrome</w:t>
      </w:r>
    </w:p>
    <w:p w:rsidR="00000000" w:rsidDel="00000000" w:rsidP="00000000" w:rsidRDefault="00000000" w:rsidRPr="00000000" w14:paraId="0000000C">
      <w:pPr>
        <w:spacing w:after="300" w:before="18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Performance decrement lasting over two months, maladapted physiology (psychological, neurological, endocrinological, immunological systems), and an additional stressor not explained by other disease.</w:t>
      </w:r>
    </w:p>
    <w:p w:rsidR="00000000" w:rsidDel="00000000" w:rsidP="00000000" w:rsidRDefault="00000000" w:rsidRPr="00000000" w14:paraId="0000000D">
      <w:pPr>
        <w:pStyle w:val="Heading3"/>
        <w:keepNext w:val="0"/>
        <w:keepLines w:val="0"/>
        <w:shd w:fill="ffffff" w:val="clear"/>
        <w:spacing w:after="160" w:before="300" w:lineRule="auto"/>
        <w:rPr>
          <w:rFonts w:ascii="Century Gothic" w:cs="Century Gothic" w:eastAsia="Century Gothic" w:hAnsi="Century Gothic"/>
          <w:b w:val="1"/>
          <w:color w:val="000000"/>
          <w:sz w:val="30"/>
          <w:szCs w:val="30"/>
          <w:highlight w:val="white"/>
        </w:rPr>
      </w:pPr>
      <w:bookmarkStart w:colFirst="0" w:colLast="0" w:name="_tuemcziovxap" w:id="3"/>
      <w:bookmarkEnd w:id="3"/>
      <w:r w:rsidDel="00000000" w:rsidR="00000000" w:rsidRPr="00000000">
        <w:rPr>
          <w:rFonts w:ascii="Century Gothic" w:cs="Century Gothic" w:eastAsia="Century Gothic" w:hAnsi="Century Gothic"/>
          <w:b w:val="1"/>
          <w:color w:val="000000"/>
          <w:sz w:val="30"/>
          <w:szCs w:val="30"/>
          <w:highlight w:val="white"/>
          <w:rtl w:val="0"/>
        </w:rPr>
        <w:t xml:space="preserve">Disordered eating</w:t>
      </w:r>
    </w:p>
    <w:p w:rsidR="00000000" w:rsidDel="00000000" w:rsidP="00000000" w:rsidRDefault="00000000" w:rsidRPr="00000000" w14:paraId="0000000E">
      <w:pPr>
        <w:spacing w:after="300" w:before="18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Food related behaviours that don’t meet the threshold for recognized eating disorders (EDs) but may still negatively affect someone’s physical, mental, or emotional health.</w:t>
      </w:r>
    </w:p>
    <w:p w:rsidR="00000000" w:rsidDel="00000000" w:rsidP="00000000" w:rsidRDefault="00000000" w:rsidRPr="00000000" w14:paraId="0000000F">
      <w:pPr>
        <w:pStyle w:val="Heading3"/>
        <w:keepNext w:val="0"/>
        <w:keepLines w:val="0"/>
        <w:shd w:fill="ffffff" w:val="clear"/>
        <w:spacing w:after="160" w:before="300" w:lineRule="auto"/>
        <w:rPr>
          <w:rFonts w:ascii="Century Gothic" w:cs="Century Gothic" w:eastAsia="Century Gothic" w:hAnsi="Century Gothic"/>
          <w:b w:val="1"/>
          <w:color w:val="000000"/>
          <w:sz w:val="30"/>
          <w:szCs w:val="30"/>
          <w:highlight w:val="white"/>
        </w:rPr>
      </w:pPr>
      <w:bookmarkStart w:colFirst="0" w:colLast="0" w:name="_luxn04z88ruz" w:id="4"/>
      <w:bookmarkEnd w:id="4"/>
      <w:r w:rsidDel="00000000" w:rsidR="00000000" w:rsidRPr="00000000">
        <w:rPr>
          <w:rFonts w:ascii="Century Gothic" w:cs="Century Gothic" w:eastAsia="Century Gothic" w:hAnsi="Century Gothic"/>
          <w:b w:val="1"/>
          <w:color w:val="000000"/>
          <w:sz w:val="30"/>
          <w:szCs w:val="30"/>
          <w:highlight w:val="white"/>
          <w:rtl w:val="0"/>
        </w:rPr>
        <w:t xml:space="preserve">Eating disorder</w:t>
      </w:r>
    </w:p>
    <w:p w:rsidR="00000000" w:rsidDel="00000000" w:rsidP="00000000" w:rsidRDefault="00000000" w:rsidRPr="00000000" w14:paraId="00000010">
      <w:pPr>
        <w:spacing w:after="300" w:before="180" w:lineRule="auto"/>
        <w:rPr>
          <w:rFonts w:ascii="Century Gothic" w:cs="Century Gothic" w:eastAsia="Century Gothic" w:hAnsi="Century Gothic"/>
          <w:sz w:val="24"/>
          <w:szCs w:val="24"/>
          <w:highlight w:val="white"/>
        </w:rPr>
      </w:pPr>
      <w:r w:rsidDel="00000000" w:rsidR="00000000" w:rsidRPr="00000000">
        <w:rPr>
          <w:rFonts w:ascii="Century Gothic" w:cs="Century Gothic" w:eastAsia="Century Gothic" w:hAnsi="Century Gothic"/>
          <w:sz w:val="24"/>
          <w:szCs w:val="24"/>
          <w:highlight w:val="white"/>
          <w:rtl w:val="0"/>
        </w:rPr>
        <w:t xml:space="preserve">An eating disorder is a mental health condition where you use the control of food to cope with feelings and other situations.</w:t>
      </w:r>
    </w:p>
    <w:p w:rsidR="00000000" w:rsidDel="00000000" w:rsidP="00000000" w:rsidRDefault="00000000" w:rsidRPr="00000000" w14:paraId="00000011">
      <w:pPr>
        <w:rPr>
          <w:rFonts w:ascii="Century Gothic" w:cs="Century Gothic" w:eastAsia="Century Gothic" w:hAnsi="Century Gothic"/>
          <w:sz w:val="24"/>
          <w:szCs w:val="24"/>
          <w:highlight w:val="white"/>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wimming.org/sport/low-energy-availability-guidanc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